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5B0DD6" w:rsidRPr="005B0DD6" w:rsidTr="00100391">
        <w:tc>
          <w:tcPr>
            <w:tcW w:w="8754" w:type="dxa"/>
          </w:tcPr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4F387B" w:rsidP="00055A08">
            <w:pPr>
              <w:spacing w:after="0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ПРОЕКТ</w:t>
            </w:r>
            <w:bookmarkStart w:id="0" w:name="_GoBack"/>
            <w:bookmarkEnd w:id="0"/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0E8CFDF" wp14:editId="5E7B7AB2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АДМИНИСТРАЦИЯ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МУНИЦИПАЛЬНОГО РАЙОНА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ПЕСТРАВСКИЙ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САМАРСКОЙ ОБЛАСТИ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  <w:t>ПОСТАНОВЛЕНИЕ</w:t>
            </w:r>
          </w:p>
          <w:p w:rsidR="005B0DD6" w:rsidRPr="005B0DD6" w:rsidRDefault="005B0DD6" w:rsidP="005B0DD6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  <w:t>_______________________№___________</w:t>
            </w:r>
          </w:p>
        </w:tc>
      </w:tr>
    </w:tbl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16"/>
          <w:lang w:eastAsia="en-US"/>
        </w:rPr>
      </w:pPr>
    </w:p>
    <w:p w:rsidR="005B0DD6" w:rsidRPr="005B0DD6" w:rsidRDefault="002776BD" w:rsidP="003824B9">
      <w:pPr>
        <w:spacing w:after="0"/>
        <w:jc w:val="center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 администрации муниципального района Пестравский Самарской области от 14.06.2022 № 355 «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 утверждении Порядка </w:t>
      </w:r>
      <w:r w:rsidR="005B0DD6">
        <w:rPr>
          <w:rFonts w:ascii="Times New Roman" w:hAnsi="Times New Roman"/>
          <w:sz w:val="28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5B0DD6">
        <w:rPr>
          <w:rFonts w:ascii="Times New Roman" w:hAnsi="Times New Roman"/>
          <w:sz w:val="28"/>
        </w:rPr>
        <w:t>Пестравская</w:t>
      </w:r>
      <w:proofErr w:type="spellEnd"/>
      <w:r w:rsidR="005B0DD6">
        <w:rPr>
          <w:rFonts w:ascii="Times New Roman" w:hAnsi="Times New Roman"/>
          <w:sz w:val="28"/>
        </w:rPr>
        <w:t xml:space="preserve"> центральная районная больница»</w:t>
      </w:r>
    </w:p>
    <w:p w:rsidR="005B0DD6" w:rsidRPr="005B0DD6" w:rsidRDefault="005B0DD6" w:rsidP="005B0DD6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целях обеспечения системы здравоохранения в муниципальном районе Пестравский Самарской области высококвалифицированными специалистами,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7F623E" w:rsidRPr="007F623E" w:rsidRDefault="002776BD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Внести в постановление администрации </w:t>
      </w:r>
      <w:r w:rsidR="007F62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Пестравский Самарской области от 14.06.2022 № 355 «Об утверждении Порядка 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предоставлени</w:t>
      </w:r>
      <w:r w:rsidR="007F62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F62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ежемесячной 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денежн</w:t>
      </w:r>
      <w:r w:rsidR="007F62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ой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выплат</w:t>
      </w:r>
      <w:r w:rsidR="007F62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ы</w:t>
      </w:r>
      <w:r w:rsidR="005B0DD6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5B0DD6" w:rsidRPr="005B0DD6">
        <w:rPr>
          <w:rFonts w:ascii="Times New Roman" w:hAnsi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5B0DD6" w:rsidRPr="005B0DD6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="005B0DD6" w:rsidRPr="005B0DD6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7F62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0DD6" w:rsidRPr="00401770" w:rsidRDefault="007F623E" w:rsidP="007F623E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Порядке 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ежемесячной 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денежн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ой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выплат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ы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5B0DD6">
        <w:rPr>
          <w:rFonts w:ascii="Times New Roman" w:hAnsi="Times New Roman"/>
          <w:sz w:val="28"/>
          <w:szCs w:val="28"/>
        </w:rPr>
        <w:t xml:space="preserve">лицам, обучающимся в государственных организациях, осуществляющих </w:t>
      </w:r>
      <w:r w:rsidRPr="005B0DD6">
        <w:rPr>
          <w:rFonts w:ascii="Times New Roman" w:hAnsi="Times New Roman"/>
          <w:sz w:val="28"/>
          <w:szCs w:val="28"/>
        </w:rPr>
        <w:lastRenderedPageBreak/>
        <w:t>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5B0DD6">
        <w:rPr>
          <w:rFonts w:ascii="Times New Roman" w:hAnsi="Times New Roman"/>
          <w:sz w:val="28"/>
          <w:szCs w:val="28"/>
        </w:rPr>
        <w:t>Пестравская</w:t>
      </w:r>
      <w:proofErr w:type="spellEnd"/>
      <w:r w:rsidRPr="005B0DD6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D7669A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>:</w:t>
      </w:r>
    </w:p>
    <w:p w:rsidR="001E670C" w:rsidRDefault="001E670C" w:rsidP="00D7669A">
      <w:pPr>
        <w:pStyle w:val="a3"/>
        <w:numPr>
          <w:ilvl w:val="2"/>
          <w:numId w:val="5"/>
        </w:numPr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="00D7669A" w:rsidRP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ункт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2.9</w:t>
      </w:r>
      <w:r w:rsidR="00D7669A" w:rsidRP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дополнить абзацем следующего содержания:</w:t>
      </w:r>
    </w:p>
    <w:p w:rsidR="00401770" w:rsidRDefault="001E670C" w:rsidP="007F0B2F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«Ежемесячная выплата за период с 01 января 2022 года по 30 июня 2022 года </w:t>
      </w:r>
      <w:r w:rsidR="00481E5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перечисляется до 10 декабря 2022 </w:t>
      </w:r>
      <w:proofErr w:type="spellStart"/>
      <w:r w:rsidR="00481E57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года</w:t>
      </w:r>
      <w:proofErr w:type="gramStart"/>
      <w:r w:rsidR="007F0B2F">
        <w:rPr>
          <w:rFonts w:ascii="Times New Roman" w:eastAsia="Calibri" w:hAnsi="Times New Roman"/>
          <w:color w:val="auto"/>
          <w:sz w:val="28"/>
          <w:szCs w:val="28"/>
          <w:lang w:eastAsia="en-US"/>
        </w:rPr>
        <w:t>.»</w:t>
      </w:r>
      <w:proofErr w:type="spellEnd"/>
      <w:r w:rsidR="00D7669A" w:rsidRP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  <w:proofErr w:type="gramEnd"/>
    </w:p>
    <w:p w:rsidR="007F0B2F" w:rsidRDefault="007F0B2F" w:rsidP="00D7669A">
      <w:pPr>
        <w:pStyle w:val="a3"/>
        <w:numPr>
          <w:ilvl w:val="2"/>
          <w:numId w:val="5"/>
        </w:numPr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п</w:t>
      </w:r>
      <w:r w:rsid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 w:rsid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10</w:t>
      </w:r>
      <w:r w:rsidR="00D7669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абзац первый изложить в новой редакции: </w:t>
      </w:r>
    </w:p>
    <w:p w:rsidR="004F387B" w:rsidRDefault="00D7669A" w:rsidP="004F387B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  <w:r w:rsidR="007F0B2F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Ежемесячная выплата лицам, указанным в пункте 1.2 настоящего Порядка, обратившимся за получением ежемесячной выплаты до 1 декабря 2022 года, устанавливается с 1 сентября 2022 года до 31 августа 2023 года</w:t>
      </w:r>
      <w:r w:rsidR="004F387B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также за истекший период учебного 2022 года, включая каникулярное время для продолжающих обучение получателей выплаты</w:t>
      </w:r>
      <w:proofErr w:type="gramStart"/>
      <w:r w:rsidR="004F387B">
        <w:rPr>
          <w:rFonts w:ascii="Times New Roman" w:eastAsia="Calibri" w:hAnsi="Times New Roman"/>
          <w:color w:val="auto"/>
          <w:sz w:val="28"/>
          <w:szCs w:val="28"/>
          <w:lang w:eastAsia="en-US"/>
        </w:rPr>
        <w:t>.».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5B0DD6" w:rsidRPr="005B0DD6" w:rsidRDefault="005B0DD6" w:rsidP="004F387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Опубликовать настоящее постановление в районной газете «Степь» и разместить на официальном Интернет-сайте администрации муниципального района Пестравский Самарской области.</w:t>
      </w:r>
    </w:p>
    <w:p w:rsidR="005B0DD6" w:rsidRPr="005B0DD6" w:rsidRDefault="005B0DD6" w:rsidP="00D7669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района Пестравский Самарской области </w:t>
      </w:r>
      <w:proofErr w:type="gramStart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</w:t>
      </w:r>
      <w:proofErr w:type="gramEnd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социальным вопросам Прокудину О.Н.</w:t>
      </w:r>
    </w:p>
    <w:p w:rsidR="005B0DD6" w:rsidRPr="005B0DD6" w:rsidRDefault="005B0DD6" w:rsidP="005B0DD6">
      <w:pPr>
        <w:spacing w:after="0"/>
        <w:ind w:firstLine="567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0DD6" w:rsidRPr="005B0DD6" w:rsidRDefault="005B0DD6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DD6">
        <w:rPr>
          <w:rFonts w:ascii="Times New Roman" w:hAnsi="Times New Roman"/>
          <w:color w:val="auto"/>
          <w:sz w:val="28"/>
          <w:szCs w:val="28"/>
        </w:rPr>
        <w:t>Глава муниципального района</w:t>
      </w:r>
    </w:p>
    <w:p w:rsidR="005B0DD6" w:rsidRPr="005B0DD6" w:rsidRDefault="005B0DD6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DD6">
        <w:rPr>
          <w:rFonts w:ascii="Times New Roman" w:hAnsi="Times New Roman"/>
          <w:color w:val="auto"/>
          <w:sz w:val="28"/>
          <w:szCs w:val="28"/>
        </w:rPr>
        <w:t>Пестравский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  <w:t xml:space="preserve">             С.В. Ермолов</w:t>
      </w:r>
    </w:p>
    <w:p w:rsidR="005B0DD6" w:rsidRPr="005B0DD6" w:rsidRDefault="005B0DD6" w:rsidP="005B0DD6">
      <w:pPr>
        <w:spacing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  <w:r w:rsidRPr="005B0DD6">
        <w:rPr>
          <w:rFonts w:ascii="Times New Roman" w:eastAsia="Calibri" w:hAnsi="Times New Roman"/>
          <w:color w:val="auto"/>
          <w:szCs w:val="22"/>
          <w:lang w:eastAsia="en-US"/>
        </w:rPr>
        <w:t xml:space="preserve">Прокудина </w:t>
      </w:r>
      <w:r w:rsidRPr="005B0DD6">
        <w:rPr>
          <w:rFonts w:ascii="Times New Roman" w:eastAsia="Calibri" w:hAnsi="Times New Roman"/>
          <w:color w:val="auto"/>
          <w:sz w:val="24"/>
          <w:szCs w:val="24"/>
          <w:lang w:eastAsia="en-US"/>
        </w:rPr>
        <w:t>88467421345</w:t>
      </w:r>
    </w:p>
    <w:sectPr w:rsidR="005B0DD6" w:rsidRPr="005B0DD6" w:rsidSect="005B0DD6">
      <w:headerReference w:type="default" r:id="rId10"/>
      <w:headerReference w:type="first" r:id="rId11"/>
      <w:pgSz w:w="11906" w:h="16838"/>
      <w:pgMar w:top="1134" w:right="851" w:bottom="1134" w:left="1418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1D" w:rsidRDefault="00E31E1D">
      <w:pPr>
        <w:spacing w:after="0" w:line="240" w:lineRule="auto"/>
      </w:pPr>
      <w:r>
        <w:separator/>
      </w:r>
    </w:p>
  </w:endnote>
  <w:endnote w:type="continuationSeparator" w:id="0">
    <w:p w:rsidR="00E31E1D" w:rsidRDefault="00E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1D" w:rsidRDefault="00E31E1D">
      <w:pPr>
        <w:spacing w:after="0" w:line="240" w:lineRule="auto"/>
      </w:pPr>
      <w:r>
        <w:separator/>
      </w:r>
    </w:p>
  </w:footnote>
  <w:footnote w:type="continuationSeparator" w:id="0">
    <w:p w:rsidR="00E31E1D" w:rsidRDefault="00E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6D48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6558B">
      <w:rPr>
        <w:noProof/>
      </w:rPr>
      <w:t>2</w:t>
    </w:r>
    <w:r>
      <w:fldChar w:fldCharType="end"/>
    </w:r>
  </w:p>
  <w:p w:rsidR="00592B6F" w:rsidRDefault="00592B6F">
    <w:pPr>
      <w:pStyle w:val="a5"/>
      <w:jc w:val="center"/>
    </w:pPr>
  </w:p>
  <w:p w:rsidR="00592B6F" w:rsidRDefault="00592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592B6F">
    <w:pPr>
      <w:pStyle w:val="a5"/>
    </w:pPr>
  </w:p>
  <w:p w:rsidR="00592B6F" w:rsidRDefault="00592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63CB6"/>
    <w:multiLevelType w:val="multilevel"/>
    <w:tmpl w:val="9E465B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DE4"/>
    <w:multiLevelType w:val="multilevel"/>
    <w:tmpl w:val="DE40F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color w:val="000000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F"/>
    <w:rsid w:val="00041A2B"/>
    <w:rsid w:val="000539A8"/>
    <w:rsid w:val="00055A08"/>
    <w:rsid w:val="00087526"/>
    <w:rsid w:val="000C5636"/>
    <w:rsid w:val="00100391"/>
    <w:rsid w:val="00136AAE"/>
    <w:rsid w:val="001843D2"/>
    <w:rsid w:val="001A5146"/>
    <w:rsid w:val="001E670C"/>
    <w:rsid w:val="001F0228"/>
    <w:rsid w:val="0027569B"/>
    <w:rsid w:val="00275F21"/>
    <w:rsid w:val="002776BD"/>
    <w:rsid w:val="002874FA"/>
    <w:rsid w:val="00320E3F"/>
    <w:rsid w:val="0036558B"/>
    <w:rsid w:val="003824B9"/>
    <w:rsid w:val="003862E3"/>
    <w:rsid w:val="003D0BC2"/>
    <w:rsid w:val="003F14CF"/>
    <w:rsid w:val="003F55E4"/>
    <w:rsid w:val="00401770"/>
    <w:rsid w:val="00481E57"/>
    <w:rsid w:val="004920E2"/>
    <w:rsid w:val="004F387B"/>
    <w:rsid w:val="00513122"/>
    <w:rsid w:val="0059144D"/>
    <w:rsid w:val="00592B6F"/>
    <w:rsid w:val="005B0DD6"/>
    <w:rsid w:val="0064699D"/>
    <w:rsid w:val="006C4C3E"/>
    <w:rsid w:val="006C7258"/>
    <w:rsid w:val="006D46A6"/>
    <w:rsid w:val="006D48AE"/>
    <w:rsid w:val="006E73D4"/>
    <w:rsid w:val="006E7C8F"/>
    <w:rsid w:val="006F4942"/>
    <w:rsid w:val="006F6E76"/>
    <w:rsid w:val="0072208E"/>
    <w:rsid w:val="00775627"/>
    <w:rsid w:val="00793A1C"/>
    <w:rsid w:val="007A6801"/>
    <w:rsid w:val="007F0B2F"/>
    <w:rsid w:val="007F4B06"/>
    <w:rsid w:val="007F623E"/>
    <w:rsid w:val="0086666D"/>
    <w:rsid w:val="008B5FC9"/>
    <w:rsid w:val="0094130E"/>
    <w:rsid w:val="00997D49"/>
    <w:rsid w:val="009A0262"/>
    <w:rsid w:val="009C56B5"/>
    <w:rsid w:val="00A612AC"/>
    <w:rsid w:val="00AA10D5"/>
    <w:rsid w:val="00AD4F57"/>
    <w:rsid w:val="00B33EEA"/>
    <w:rsid w:val="00B71C13"/>
    <w:rsid w:val="00C70677"/>
    <w:rsid w:val="00C9752F"/>
    <w:rsid w:val="00CD2D85"/>
    <w:rsid w:val="00D338EE"/>
    <w:rsid w:val="00D7669A"/>
    <w:rsid w:val="00DB15A5"/>
    <w:rsid w:val="00E15802"/>
    <w:rsid w:val="00E31E1D"/>
    <w:rsid w:val="00E809F1"/>
    <w:rsid w:val="00EF241E"/>
    <w:rsid w:val="00F161DF"/>
    <w:rsid w:val="00FB663E"/>
    <w:rsid w:val="00FC5A9A"/>
    <w:rsid w:val="00FD4BEE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1">
    <w:name w:val="ConsPlusNormal1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1">
    <w:name w:val="unformattext1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1">
    <w:name w:val="ConsPlusNormal1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1">
    <w:name w:val="unformattext1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4A8-5E68-408F-BBE8-D8B5BDBD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Сливина</dc:creator>
  <cp:lastModifiedBy>Елена Старкова</cp:lastModifiedBy>
  <cp:revision>2</cp:revision>
  <cp:lastPrinted>2022-09-14T09:52:00Z</cp:lastPrinted>
  <dcterms:created xsi:type="dcterms:W3CDTF">2022-09-14T12:26:00Z</dcterms:created>
  <dcterms:modified xsi:type="dcterms:W3CDTF">2022-09-14T12:26:00Z</dcterms:modified>
</cp:coreProperties>
</file>